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6FB43" w14:textId="57B20FA8" w:rsidR="00B406E2" w:rsidRPr="00C712E1" w:rsidRDefault="00B406E2" w:rsidP="00B406E2">
      <w:pPr>
        <w:pStyle w:val="Default"/>
      </w:pPr>
      <w:r w:rsidRPr="00C712E1">
        <w:t>Table.  Anticoagulation after endocardial ventricular tachycardia ablation procedures.</w:t>
      </w:r>
    </w:p>
    <w:tbl>
      <w:tblPr>
        <w:tblStyle w:val="a3"/>
        <w:tblpPr w:leftFromText="142" w:rightFromText="142" w:horzAnchor="margin" w:tblpY="426"/>
        <w:tblW w:w="13178" w:type="dxa"/>
        <w:tblLook w:val="04A0" w:firstRow="1" w:lastRow="0" w:firstColumn="1" w:lastColumn="0" w:noHBand="0" w:noVBand="1"/>
      </w:tblPr>
      <w:tblGrid>
        <w:gridCol w:w="1389"/>
        <w:gridCol w:w="1628"/>
        <w:gridCol w:w="1803"/>
        <w:gridCol w:w="2800"/>
        <w:gridCol w:w="1164"/>
        <w:gridCol w:w="4394"/>
      </w:tblGrid>
      <w:tr w:rsidR="00A824E1" w:rsidRPr="00C712E1" w14:paraId="3D370F0D" w14:textId="77777777" w:rsidTr="007B3A74">
        <w:trPr>
          <w:trHeight w:val="823"/>
        </w:trPr>
        <w:tc>
          <w:tcPr>
            <w:tcW w:w="1389" w:type="dxa"/>
          </w:tcPr>
          <w:p w14:paraId="3E581550" w14:textId="77777777" w:rsidR="00B406E2" w:rsidRPr="00C712E1" w:rsidRDefault="00B406E2" w:rsidP="001F50E8">
            <w:pPr>
              <w:pStyle w:val="Default"/>
            </w:pPr>
            <w:r w:rsidRPr="00C712E1">
              <w:t xml:space="preserve">Study </w:t>
            </w:r>
          </w:p>
        </w:tc>
        <w:tc>
          <w:tcPr>
            <w:tcW w:w="1628" w:type="dxa"/>
          </w:tcPr>
          <w:p w14:paraId="54366086" w14:textId="77777777" w:rsidR="00B406E2" w:rsidRPr="00C712E1" w:rsidRDefault="00B406E2" w:rsidP="001F50E8">
            <w:pPr>
              <w:pStyle w:val="Default"/>
            </w:pPr>
            <w:r w:rsidRPr="00C712E1">
              <w:t>Study design</w:t>
            </w:r>
          </w:p>
        </w:tc>
        <w:tc>
          <w:tcPr>
            <w:tcW w:w="1803" w:type="dxa"/>
          </w:tcPr>
          <w:p w14:paraId="4521D2F1" w14:textId="77777777" w:rsidR="00B406E2" w:rsidRPr="00C712E1" w:rsidRDefault="00B406E2" w:rsidP="001F50E8">
            <w:pPr>
              <w:pStyle w:val="Default"/>
            </w:pPr>
            <w:r w:rsidRPr="00C712E1">
              <w:t>Number of patients who received anti-thromboembolic therapy</w:t>
            </w:r>
          </w:p>
        </w:tc>
        <w:tc>
          <w:tcPr>
            <w:tcW w:w="2800" w:type="dxa"/>
          </w:tcPr>
          <w:p w14:paraId="3DA62E5C" w14:textId="77777777" w:rsidR="00B406E2" w:rsidRPr="00C712E1" w:rsidRDefault="00B406E2" w:rsidP="001F50E8">
            <w:pPr>
              <w:pStyle w:val="Default"/>
            </w:pPr>
            <w:r w:rsidRPr="00C712E1">
              <w:t>Anti-thrombotic drug</w:t>
            </w:r>
          </w:p>
        </w:tc>
        <w:tc>
          <w:tcPr>
            <w:tcW w:w="1164" w:type="dxa"/>
          </w:tcPr>
          <w:p w14:paraId="2B4D4BDA" w14:textId="77777777" w:rsidR="00B406E2" w:rsidRPr="00C712E1" w:rsidRDefault="00B406E2" w:rsidP="001F50E8">
            <w:pPr>
              <w:pStyle w:val="Default"/>
            </w:pPr>
            <w:r w:rsidRPr="00C712E1">
              <w:t>Duration of drug use</w:t>
            </w:r>
          </w:p>
        </w:tc>
        <w:tc>
          <w:tcPr>
            <w:tcW w:w="4394" w:type="dxa"/>
          </w:tcPr>
          <w:p w14:paraId="4F63A829" w14:textId="51F4A45E" w:rsidR="00B406E2" w:rsidRPr="00C712E1" w:rsidRDefault="00B406E2" w:rsidP="001F50E8">
            <w:pPr>
              <w:pStyle w:val="Default"/>
            </w:pPr>
            <w:r w:rsidRPr="00C712E1">
              <w:t>Bleeding</w:t>
            </w:r>
            <w:r w:rsidR="006700B5">
              <w:t xml:space="preserve"> and </w:t>
            </w:r>
            <w:r w:rsidRPr="00C712E1">
              <w:t>thromboembolic complication</w:t>
            </w:r>
          </w:p>
        </w:tc>
      </w:tr>
      <w:tr w:rsidR="00596AFA" w:rsidRPr="00C712E1" w14:paraId="66F4176B" w14:textId="77777777" w:rsidTr="007B3A74">
        <w:trPr>
          <w:trHeight w:val="823"/>
        </w:trPr>
        <w:tc>
          <w:tcPr>
            <w:tcW w:w="1389" w:type="dxa"/>
          </w:tcPr>
          <w:p w14:paraId="48136B21" w14:textId="57D1FF38" w:rsidR="00596AFA" w:rsidRPr="00C712E1" w:rsidRDefault="00596AFA" w:rsidP="00596AFA">
            <w:pPr>
              <w:pStyle w:val="Default"/>
            </w:pPr>
            <w:proofErr w:type="spellStart"/>
            <w:r w:rsidRPr="00C712E1">
              <w:t>Siontis</w:t>
            </w:r>
            <w:proofErr w:type="spellEnd"/>
            <w:r w:rsidRPr="00C712E1">
              <w:t xml:space="preserve"> et al. </w:t>
            </w:r>
            <w:r w:rsidRPr="001F0C25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1628" w:type="dxa"/>
          </w:tcPr>
          <w:p w14:paraId="2C019C4B" w14:textId="2E38D93E" w:rsidR="00596AFA" w:rsidRPr="00C712E1" w:rsidRDefault="00596AFA" w:rsidP="00596AFA">
            <w:pPr>
              <w:pStyle w:val="Default"/>
            </w:pPr>
            <w:r w:rsidRPr="00C712E1">
              <w:t xml:space="preserve">Single center, </w:t>
            </w:r>
            <w:r w:rsidRPr="00BD3D6C">
              <w:t>non-comparative study</w:t>
            </w:r>
          </w:p>
        </w:tc>
        <w:tc>
          <w:tcPr>
            <w:tcW w:w="1803" w:type="dxa"/>
          </w:tcPr>
          <w:p w14:paraId="54D5B1C7" w14:textId="55F2E774" w:rsidR="00596AFA" w:rsidRPr="00C712E1" w:rsidRDefault="00596AFA" w:rsidP="00596AFA">
            <w:pPr>
              <w:pStyle w:val="Default"/>
            </w:pPr>
            <w:r w:rsidRPr="00C712E1">
              <w:t>214</w:t>
            </w:r>
            <w:r w:rsidRPr="001F0C25">
              <w:rPr>
                <w:vertAlign w:val="superscript"/>
              </w:rPr>
              <w:t>#</w:t>
            </w:r>
          </w:p>
        </w:tc>
        <w:tc>
          <w:tcPr>
            <w:tcW w:w="2800" w:type="dxa"/>
          </w:tcPr>
          <w:p w14:paraId="62A6355D" w14:textId="77777777" w:rsidR="00596AFA" w:rsidRPr="00C712E1" w:rsidRDefault="00596AFA" w:rsidP="00596AFA">
            <w:pPr>
              <w:pStyle w:val="Default"/>
            </w:pPr>
            <w:r w:rsidRPr="00C712E1">
              <w:t xml:space="preserve">Warfarin (n=186) </w:t>
            </w:r>
          </w:p>
          <w:p w14:paraId="1D5A2407" w14:textId="77777777" w:rsidR="00596AFA" w:rsidRPr="00C712E1" w:rsidRDefault="00596AFA" w:rsidP="00596AFA">
            <w:pPr>
              <w:pStyle w:val="Default"/>
            </w:pPr>
            <w:r w:rsidRPr="00C712E1">
              <w:t>Enoxaparin (n=1)</w:t>
            </w:r>
          </w:p>
          <w:p w14:paraId="2624E1F5" w14:textId="77777777" w:rsidR="00596AFA" w:rsidRPr="00C712E1" w:rsidRDefault="00596AFA" w:rsidP="00596AFA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  <w:r w:rsidRPr="00C712E1">
              <w:rPr>
                <w:rFonts w:ascii="Times New Roman" w:hAnsi="Times New Roman" w:cs="Times New Roman"/>
                <w:color w:val="212121"/>
                <w:sz w:val="24"/>
                <w:shd w:val="clear" w:color="auto" w:fill="FFFFFF"/>
              </w:rPr>
              <w:t>DOAC</w:t>
            </w:r>
            <w:r w:rsidRPr="00C712E1">
              <w:rPr>
                <w:rFonts w:ascii="Times New Roman" w:hAnsi="Times New Roman" w:cs="Times New Roman"/>
                <w:kern w:val="0"/>
                <w:sz w:val="24"/>
              </w:rPr>
              <w:t xml:space="preserve"> (n=3, 2 dabigatran, 1 rivaroxaban)</w:t>
            </w:r>
          </w:p>
          <w:p w14:paraId="2511F28A" w14:textId="6FFD3D6E" w:rsidR="00596AFA" w:rsidRPr="00C712E1" w:rsidRDefault="00596AFA" w:rsidP="00596AFA">
            <w:pPr>
              <w:pStyle w:val="Default"/>
            </w:pPr>
            <w:r w:rsidRPr="00C712E1">
              <w:t>Antiplatelet agents (n=24)</w:t>
            </w:r>
          </w:p>
        </w:tc>
        <w:tc>
          <w:tcPr>
            <w:tcW w:w="1164" w:type="dxa"/>
          </w:tcPr>
          <w:p w14:paraId="3C926A68" w14:textId="612AA576" w:rsidR="00596AFA" w:rsidRPr="00C712E1" w:rsidRDefault="00596AFA" w:rsidP="00596AFA">
            <w:pPr>
              <w:pStyle w:val="Default"/>
            </w:pPr>
            <w:r w:rsidRPr="00C712E1">
              <w:t>3 months</w:t>
            </w:r>
          </w:p>
        </w:tc>
        <w:tc>
          <w:tcPr>
            <w:tcW w:w="4394" w:type="dxa"/>
          </w:tcPr>
          <w:p w14:paraId="3C1A8D7D" w14:textId="77777777" w:rsidR="00596AFA" w:rsidRPr="00C712E1" w:rsidRDefault="00596AFA" w:rsidP="00596AF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  <w:r w:rsidRPr="00C712E1">
              <w:rPr>
                <w:rFonts w:ascii="Times New Roman" w:hAnsi="Times New Roman" w:cs="Times New Roman"/>
                <w:kern w:val="0"/>
                <w:sz w:val="24"/>
              </w:rPr>
              <w:t xml:space="preserve">One patient had a lower extremity arterial embolism 12 hours after the procedure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while</w:t>
            </w:r>
            <w:r w:rsidRPr="00C712E1">
              <w:rPr>
                <w:rFonts w:ascii="Times New Roman" w:hAnsi="Times New Roman" w:cs="Times New Roman"/>
                <w:kern w:val="0"/>
                <w:sz w:val="24"/>
              </w:rPr>
              <w:t xml:space="preserve"> receiving bridging anticoagulation.</w:t>
            </w:r>
          </w:p>
          <w:p w14:paraId="5808DC31" w14:textId="61B2C448" w:rsidR="00596AFA" w:rsidRPr="00C712E1" w:rsidRDefault="00596AFA" w:rsidP="00596AFA">
            <w:pPr>
              <w:pStyle w:val="Default"/>
            </w:pPr>
            <w:r w:rsidRPr="00C712E1">
              <w:t xml:space="preserve">After discharge, no definite or possible </w:t>
            </w:r>
            <w:r w:rsidRPr="00C60A6C">
              <w:t xml:space="preserve">thromboembolic </w:t>
            </w:r>
            <w:r w:rsidRPr="002B2721">
              <w:rPr>
                <w:color w:val="auto"/>
                <w:kern w:val="2"/>
              </w:rPr>
              <w:t xml:space="preserve">events </w:t>
            </w:r>
            <w:r>
              <w:t>or</w:t>
            </w:r>
            <w:r w:rsidRPr="002B2721">
              <w:rPr>
                <w:color w:val="auto"/>
                <w:kern w:val="2"/>
              </w:rPr>
              <w:t xml:space="preserve"> bleeding events were documented.</w:t>
            </w:r>
          </w:p>
        </w:tc>
      </w:tr>
      <w:tr w:rsidR="00A824E1" w:rsidRPr="00C712E1" w14:paraId="177EA5AD" w14:textId="77777777" w:rsidTr="007B3A74">
        <w:trPr>
          <w:trHeight w:val="2342"/>
        </w:trPr>
        <w:tc>
          <w:tcPr>
            <w:tcW w:w="1389" w:type="dxa"/>
          </w:tcPr>
          <w:p w14:paraId="04493D9E" w14:textId="0E64D08C" w:rsidR="00B406E2" w:rsidRPr="00C712E1" w:rsidRDefault="00B406E2" w:rsidP="001F50E8">
            <w:pPr>
              <w:pStyle w:val="Default"/>
            </w:pPr>
            <w:proofErr w:type="spellStart"/>
            <w:r w:rsidRPr="00C712E1">
              <w:t>Thermocool</w:t>
            </w:r>
            <w:proofErr w:type="spellEnd"/>
            <w:r w:rsidRPr="00C712E1">
              <w:t xml:space="preserve"> VT ablation trial </w:t>
            </w:r>
            <w:r w:rsidR="00610A6F" w:rsidRPr="001F0C25">
              <w:rPr>
                <w:color w:val="000000" w:themeColor="text1"/>
                <w:vertAlign w:val="superscript"/>
              </w:rPr>
              <w:t>3</w:t>
            </w:r>
          </w:p>
        </w:tc>
        <w:tc>
          <w:tcPr>
            <w:tcW w:w="1628" w:type="dxa"/>
          </w:tcPr>
          <w:p w14:paraId="08CD8C5A" w14:textId="3D8B0CFE" w:rsidR="00B406E2" w:rsidRPr="00C712E1" w:rsidRDefault="00B406E2" w:rsidP="001F50E8">
            <w:pPr>
              <w:pStyle w:val="Default"/>
            </w:pPr>
            <w:r w:rsidRPr="00C712E1">
              <w:t xml:space="preserve">Multicenter, </w:t>
            </w:r>
            <w:r w:rsidR="00BD3D6C" w:rsidRPr="00BD3D6C">
              <w:t>non-comparative study</w:t>
            </w:r>
          </w:p>
        </w:tc>
        <w:tc>
          <w:tcPr>
            <w:tcW w:w="1803" w:type="dxa"/>
          </w:tcPr>
          <w:p w14:paraId="508E03C7" w14:textId="77777777" w:rsidR="00B406E2" w:rsidRPr="00C712E1" w:rsidRDefault="00B406E2" w:rsidP="001F50E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</w:rPr>
            </w:pPr>
            <w:r w:rsidRPr="00C712E1">
              <w:rPr>
                <w:rFonts w:ascii="Times New Roman" w:hAnsi="Times New Roman" w:cs="Times New Roman"/>
                <w:sz w:val="24"/>
              </w:rPr>
              <w:t>226</w:t>
            </w:r>
            <w:r w:rsidRPr="001F0C25">
              <w:rPr>
                <w:rFonts w:ascii="Times New Roman" w:hAnsi="Times New Roman" w:cs="Times New Roman"/>
                <w:sz w:val="24"/>
                <w:vertAlign w:val="superscript"/>
              </w:rPr>
              <w:t>*</w:t>
            </w:r>
          </w:p>
        </w:tc>
        <w:tc>
          <w:tcPr>
            <w:tcW w:w="2800" w:type="dxa"/>
          </w:tcPr>
          <w:p w14:paraId="7333D423" w14:textId="09B75763" w:rsidR="00B406E2" w:rsidRPr="00C712E1" w:rsidRDefault="00B406E2" w:rsidP="001F50E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</w:rPr>
            </w:pPr>
            <w:r w:rsidRPr="00C712E1">
              <w:rPr>
                <w:rFonts w:ascii="Times New Roman" w:hAnsi="Times New Roman" w:cs="Times New Roman"/>
                <w:sz w:val="24"/>
              </w:rPr>
              <w:t xml:space="preserve">Aspirin </w:t>
            </w:r>
            <w:r w:rsidR="006050C6" w:rsidRPr="00C712E1">
              <w:rPr>
                <w:rFonts w:ascii="Times New Roman" w:hAnsi="Times New Roman" w:cs="Times New Roman"/>
                <w:sz w:val="24"/>
              </w:rPr>
              <w:t>(</w:t>
            </w:r>
            <w:r w:rsidRPr="00C712E1">
              <w:rPr>
                <w:rFonts w:ascii="Times New Roman" w:hAnsi="Times New Roman" w:cs="Times New Roman"/>
                <w:sz w:val="24"/>
              </w:rPr>
              <w:t>325mg</w:t>
            </w:r>
            <w:r w:rsidR="006050C6" w:rsidRPr="00C712E1">
              <w:rPr>
                <w:rFonts w:ascii="Times New Roman" w:hAnsi="Times New Roman" w:cs="Times New Roman"/>
                <w:sz w:val="24"/>
              </w:rPr>
              <w:t>)</w:t>
            </w:r>
            <w:r w:rsidRPr="00C712E1">
              <w:rPr>
                <w:rFonts w:ascii="Times New Roman" w:hAnsi="Times New Roman" w:cs="Times New Roman"/>
                <w:sz w:val="24"/>
              </w:rPr>
              <w:t xml:space="preserve"> or </w:t>
            </w:r>
            <w:r w:rsidR="004415E7">
              <w:rPr>
                <w:rFonts w:ascii="Times New Roman" w:hAnsi="Times New Roman" w:cs="Times New Roman"/>
                <w:sz w:val="24"/>
              </w:rPr>
              <w:t>w</w:t>
            </w:r>
            <w:r w:rsidRPr="00C712E1">
              <w:rPr>
                <w:rFonts w:ascii="Times New Roman" w:hAnsi="Times New Roman" w:cs="Times New Roman"/>
                <w:sz w:val="24"/>
              </w:rPr>
              <w:t>arfarin</w:t>
            </w:r>
          </w:p>
          <w:p w14:paraId="0956C1D4" w14:textId="59A03380" w:rsidR="00B406E2" w:rsidRPr="004415E7" w:rsidRDefault="00B406E2" w:rsidP="004415E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 w:hint="eastAsia"/>
                <w:sz w:val="24"/>
              </w:rPr>
            </w:pPr>
            <w:r w:rsidRPr="00C712E1">
              <w:rPr>
                <w:rFonts w:ascii="Times New Roman" w:hAnsi="Times New Roman" w:cs="Times New Roman"/>
                <w:sz w:val="24"/>
              </w:rPr>
              <w:t xml:space="preserve">(163 warfarin) </w:t>
            </w:r>
          </w:p>
        </w:tc>
        <w:tc>
          <w:tcPr>
            <w:tcW w:w="1164" w:type="dxa"/>
          </w:tcPr>
          <w:p w14:paraId="60569929" w14:textId="77777777" w:rsidR="00B406E2" w:rsidRPr="00C712E1" w:rsidRDefault="00B406E2" w:rsidP="001F50E8">
            <w:pPr>
              <w:pStyle w:val="Default"/>
            </w:pPr>
            <w:r w:rsidRPr="00C712E1">
              <w:t>3 months</w:t>
            </w:r>
          </w:p>
        </w:tc>
        <w:tc>
          <w:tcPr>
            <w:tcW w:w="4394" w:type="dxa"/>
          </w:tcPr>
          <w:p w14:paraId="753EAE1B" w14:textId="77777777" w:rsidR="00B406E2" w:rsidRPr="00C712E1" w:rsidRDefault="00B406E2" w:rsidP="001F50E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  <w:r w:rsidRPr="00C712E1">
              <w:rPr>
                <w:rFonts w:ascii="Times New Roman" w:hAnsi="Times New Roman" w:cs="Times New Roman"/>
                <w:kern w:val="0"/>
                <w:sz w:val="24"/>
              </w:rPr>
              <w:t>No procedure-related thromboembolic</w:t>
            </w:r>
          </w:p>
          <w:p w14:paraId="1D1DF126" w14:textId="4CA146A7" w:rsidR="00B406E2" w:rsidRPr="00610A6F" w:rsidRDefault="00B406E2" w:rsidP="001F0C25">
            <w:pPr>
              <w:autoSpaceDE w:val="0"/>
              <w:autoSpaceDN w:val="0"/>
              <w:adjustRightInd w:val="0"/>
              <w:jc w:val="left"/>
            </w:pPr>
            <w:r w:rsidRPr="00C712E1">
              <w:rPr>
                <w:rFonts w:ascii="Times New Roman" w:hAnsi="Times New Roman" w:cs="Times New Roman"/>
                <w:kern w:val="0"/>
                <w:sz w:val="24"/>
              </w:rPr>
              <w:t>complication</w:t>
            </w:r>
            <w:r w:rsidR="00C60A6C">
              <w:rPr>
                <w:rFonts w:ascii="Times New Roman" w:hAnsi="Times New Roman" w:cs="Times New Roman"/>
                <w:kern w:val="0"/>
                <w:sz w:val="24"/>
              </w:rPr>
              <w:t>s</w:t>
            </w:r>
            <w:r w:rsidRPr="00C712E1">
              <w:rPr>
                <w:rFonts w:ascii="Times New Roman" w:hAnsi="Times New Roman" w:cs="Times New Roman"/>
                <w:kern w:val="0"/>
                <w:sz w:val="24"/>
              </w:rPr>
              <w:t xml:space="preserve"> or stroke</w:t>
            </w:r>
            <w:r w:rsidR="00C60A6C">
              <w:rPr>
                <w:rFonts w:ascii="Times New Roman" w:hAnsi="Times New Roman" w:cs="Times New Roman"/>
                <w:kern w:val="0"/>
                <w:sz w:val="24"/>
              </w:rPr>
              <w:t>s</w:t>
            </w:r>
            <w:r w:rsidRPr="00C712E1">
              <w:rPr>
                <w:rFonts w:ascii="Times New Roman" w:hAnsi="Times New Roman" w:cs="Times New Roman"/>
                <w:kern w:val="0"/>
                <w:sz w:val="24"/>
              </w:rPr>
              <w:t xml:space="preserve"> had been detected </w:t>
            </w:r>
            <w:r w:rsidRPr="00C60A6C">
              <w:rPr>
                <w:rFonts w:ascii="Times New Roman" w:hAnsi="Times New Roman" w:cs="Times New Roman"/>
                <w:kern w:val="0"/>
                <w:sz w:val="24"/>
              </w:rPr>
              <w:t>by</w:t>
            </w:r>
            <w:r w:rsidR="00C60A6C" w:rsidRPr="00C60A6C">
              <w:rPr>
                <w:rFonts w:ascii="Times New Roman" w:hAnsi="Times New Roman" w:cs="Times New Roman"/>
                <w:kern w:val="0"/>
                <w:sz w:val="24"/>
              </w:rPr>
              <w:t xml:space="preserve"> a </w:t>
            </w:r>
            <w:r w:rsidRPr="001F0C25">
              <w:rPr>
                <w:rFonts w:ascii="Times New Roman" w:hAnsi="Times New Roman" w:cs="Times New Roman"/>
                <w:sz w:val="24"/>
              </w:rPr>
              <w:t>neurological examination.</w:t>
            </w:r>
          </w:p>
          <w:p w14:paraId="75109059" w14:textId="24FF69CA" w:rsidR="00B406E2" w:rsidRPr="00C712E1" w:rsidRDefault="00B406E2" w:rsidP="001F0C25">
            <w:pPr>
              <w:autoSpaceDE w:val="0"/>
              <w:autoSpaceDN w:val="0"/>
              <w:adjustRightInd w:val="0"/>
              <w:jc w:val="left"/>
            </w:pPr>
            <w:r w:rsidRPr="00C712E1">
              <w:rPr>
                <w:rFonts w:ascii="Times New Roman" w:hAnsi="Times New Roman" w:cs="Times New Roman"/>
                <w:kern w:val="0"/>
                <w:sz w:val="24"/>
              </w:rPr>
              <w:t>Complications related to vascular access (femoral hematomas</w:t>
            </w:r>
            <w:r w:rsidR="00C60A6C">
              <w:rPr>
                <w:rFonts w:ascii="Times New Roman" w:hAnsi="Times New Roman" w:cs="Times New Roman"/>
                <w:kern w:val="0"/>
                <w:sz w:val="24"/>
              </w:rPr>
              <w:t xml:space="preserve"> </w:t>
            </w:r>
            <w:r w:rsidRPr="001F0C25">
              <w:rPr>
                <w:rFonts w:ascii="Times New Roman" w:hAnsi="Times New Roman" w:cs="Times New Roman"/>
                <w:sz w:val="24"/>
              </w:rPr>
              <w:t xml:space="preserve">or pseudoaneurysms) occurred in 4.7% of </w:t>
            </w:r>
            <w:r w:rsidR="00C60A6C">
              <w:rPr>
                <w:rFonts w:ascii="Times New Roman" w:hAnsi="Times New Roman" w:cs="Times New Roman"/>
                <w:sz w:val="24"/>
              </w:rPr>
              <w:t xml:space="preserve">the </w:t>
            </w:r>
            <w:r w:rsidRPr="001F0C25">
              <w:rPr>
                <w:rFonts w:ascii="Times New Roman" w:hAnsi="Times New Roman" w:cs="Times New Roman"/>
                <w:sz w:val="24"/>
              </w:rPr>
              <w:t>patients.</w:t>
            </w:r>
          </w:p>
        </w:tc>
      </w:tr>
      <w:tr w:rsidR="00B406E2" w:rsidRPr="00C712E1" w14:paraId="45CA2DA4" w14:textId="77777777" w:rsidTr="007B3A74">
        <w:trPr>
          <w:trHeight w:val="418"/>
        </w:trPr>
        <w:tc>
          <w:tcPr>
            <w:tcW w:w="1389" w:type="dxa"/>
          </w:tcPr>
          <w:p w14:paraId="7BDE0B87" w14:textId="758A2EDD" w:rsidR="00B406E2" w:rsidRPr="00C712E1" w:rsidRDefault="00510565" w:rsidP="001F50E8">
            <w:pPr>
              <w:pStyle w:val="Default"/>
            </w:pPr>
            <w:r w:rsidRPr="00C712E1">
              <w:t>STROKE-VT trial</w:t>
            </w:r>
            <w:r w:rsidR="006050C6" w:rsidRPr="00C712E1">
              <w:t xml:space="preserve"> </w:t>
            </w:r>
            <w:r w:rsidR="00596AFA" w:rsidRPr="001F0C25">
              <w:rPr>
                <w:color w:val="000000" w:themeColor="text1"/>
                <w:vertAlign w:val="superscript"/>
              </w:rPr>
              <w:t>4</w:t>
            </w:r>
          </w:p>
        </w:tc>
        <w:tc>
          <w:tcPr>
            <w:tcW w:w="1628" w:type="dxa"/>
          </w:tcPr>
          <w:p w14:paraId="106D4603" w14:textId="1E4DD3A3" w:rsidR="00B406E2" w:rsidRPr="00C712E1" w:rsidRDefault="006050C6" w:rsidP="001F50E8">
            <w:pPr>
              <w:pStyle w:val="Default"/>
            </w:pPr>
            <w:r w:rsidRPr="00C712E1">
              <w:t>Multicenter, randomized study</w:t>
            </w:r>
          </w:p>
        </w:tc>
        <w:tc>
          <w:tcPr>
            <w:tcW w:w="1803" w:type="dxa"/>
          </w:tcPr>
          <w:p w14:paraId="4B23A041" w14:textId="38BC3A71" w:rsidR="00B406E2" w:rsidRPr="00C712E1" w:rsidRDefault="006050C6" w:rsidP="001F50E8">
            <w:pPr>
              <w:pStyle w:val="Default"/>
            </w:pPr>
            <w:r w:rsidRPr="00C712E1">
              <w:t>246</w:t>
            </w:r>
          </w:p>
        </w:tc>
        <w:tc>
          <w:tcPr>
            <w:tcW w:w="2800" w:type="dxa"/>
          </w:tcPr>
          <w:p w14:paraId="04867F24" w14:textId="047131E2" w:rsidR="00B406E2" w:rsidRPr="00C712E1" w:rsidRDefault="006050C6" w:rsidP="001F50E8">
            <w:pPr>
              <w:pStyle w:val="Default"/>
            </w:pPr>
            <w:r w:rsidRPr="00C712E1">
              <w:t>DOACs</w:t>
            </w:r>
            <w:r w:rsidR="00A824E1">
              <w:t xml:space="preserve"> (</w:t>
            </w:r>
            <w:r w:rsidR="00A824E1" w:rsidRPr="00EE3765">
              <w:t xml:space="preserve"> </w:t>
            </w:r>
            <w:r w:rsidR="00A824E1">
              <w:t xml:space="preserve">n=123; 14 </w:t>
            </w:r>
            <w:r w:rsidR="00A824E1" w:rsidRPr="00EE3765">
              <w:t xml:space="preserve">dabigatran, </w:t>
            </w:r>
            <w:r w:rsidR="00A824E1">
              <w:t xml:space="preserve">40 </w:t>
            </w:r>
            <w:r w:rsidR="00A824E1" w:rsidRPr="00EE3765">
              <w:t xml:space="preserve">rivaroxaban, </w:t>
            </w:r>
            <w:r w:rsidR="00A824E1">
              <w:t>69</w:t>
            </w:r>
            <w:r w:rsidR="00A824E1" w:rsidRPr="00EE3765">
              <w:t xml:space="preserve"> apixaban</w:t>
            </w:r>
            <w:r w:rsidR="00A824E1">
              <w:t>)</w:t>
            </w:r>
          </w:p>
          <w:p w14:paraId="30C7BC2D" w14:textId="564052EB" w:rsidR="006050C6" w:rsidRPr="00C712E1" w:rsidRDefault="006050C6" w:rsidP="001F50E8">
            <w:pPr>
              <w:pStyle w:val="Default"/>
            </w:pPr>
            <w:r w:rsidRPr="00C712E1">
              <w:t>Aspirin (81mg)</w:t>
            </w:r>
            <w:r w:rsidR="00A824E1">
              <w:t xml:space="preserve"> (n=123)</w:t>
            </w:r>
          </w:p>
        </w:tc>
        <w:tc>
          <w:tcPr>
            <w:tcW w:w="1164" w:type="dxa"/>
          </w:tcPr>
          <w:p w14:paraId="798AC6A9" w14:textId="7C9BF5A5" w:rsidR="00B406E2" w:rsidRPr="00C712E1" w:rsidRDefault="00C712E1" w:rsidP="001F50E8">
            <w:pPr>
              <w:pStyle w:val="Default"/>
            </w:pPr>
            <w:r>
              <w:rPr>
                <w:rFonts w:hint="eastAsia"/>
              </w:rPr>
              <w:t>3</w:t>
            </w:r>
            <w:r>
              <w:t>0 days</w:t>
            </w:r>
          </w:p>
        </w:tc>
        <w:tc>
          <w:tcPr>
            <w:tcW w:w="4394" w:type="dxa"/>
          </w:tcPr>
          <w:p w14:paraId="5BF44A10" w14:textId="5134D53C" w:rsidR="00B406E2" w:rsidRPr="00C712E1" w:rsidRDefault="00C712E1" w:rsidP="00C60A6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  <w:r w:rsidRPr="00C712E1">
              <w:rPr>
                <w:rFonts w:ascii="Times New Roman" w:hAnsi="Times New Roman" w:cs="Times New Roman"/>
                <w:kern w:val="0"/>
                <w:sz w:val="24"/>
              </w:rPr>
              <w:t>Post</w:t>
            </w:r>
            <w:r w:rsidR="00C60A6C">
              <w:rPr>
                <w:rFonts w:ascii="Times New Roman" w:hAnsi="Times New Roman" w:cs="Times New Roman"/>
                <w:kern w:val="0"/>
                <w:sz w:val="24"/>
              </w:rPr>
              <w:t>-</w:t>
            </w:r>
            <w:r w:rsidRPr="00C712E1">
              <w:rPr>
                <w:rFonts w:ascii="Times New Roman" w:hAnsi="Times New Roman" w:cs="Times New Roman"/>
                <w:kern w:val="0"/>
                <w:sz w:val="24"/>
              </w:rPr>
              <w:t>procedure</w:t>
            </w:r>
            <w:r>
              <w:rPr>
                <w:rFonts w:ascii="Times New Roman" w:hAnsi="Times New Roman" w:cs="Times New Roman" w:hint="eastAsia"/>
                <w:kern w:val="0"/>
                <w:sz w:val="24"/>
              </w:rPr>
              <w:t xml:space="preserve"> </w:t>
            </w:r>
            <w:r w:rsidRPr="00C712E1">
              <w:rPr>
                <w:rFonts w:ascii="Times New Roman" w:hAnsi="Times New Roman" w:cs="Times New Roman"/>
                <w:kern w:val="0"/>
                <w:sz w:val="24"/>
              </w:rPr>
              <w:t>cerebrovascular events (stroke</w:t>
            </w:r>
            <w:r w:rsidR="00C60A6C">
              <w:rPr>
                <w:rFonts w:ascii="Times New Roman" w:hAnsi="Times New Roman" w:cs="Times New Roman"/>
                <w:kern w:val="0"/>
                <w:sz w:val="24"/>
              </w:rPr>
              <w:t>s</w:t>
            </w:r>
            <w:r w:rsidRPr="00C712E1">
              <w:rPr>
                <w:rFonts w:ascii="Times New Roman" w:hAnsi="Times New Roman" w:cs="Times New Roman"/>
                <w:kern w:val="0"/>
                <w:sz w:val="24"/>
              </w:rPr>
              <w:t xml:space="preserve"> and TIA</w:t>
            </w:r>
            <w:r w:rsidR="00C60A6C">
              <w:rPr>
                <w:rFonts w:ascii="Times New Roman" w:hAnsi="Times New Roman" w:cs="Times New Roman"/>
                <w:kern w:val="0"/>
                <w:sz w:val="24"/>
              </w:rPr>
              <w:t>s</w:t>
            </w:r>
            <w:r w:rsidRPr="00C712E1">
              <w:rPr>
                <w:rFonts w:ascii="Times New Roman" w:hAnsi="Times New Roman" w:cs="Times New Roman"/>
                <w:kern w:val="0"/>
                <w:sz w:val="24"/>
              </w:rPr>
              <w:t>) were lower in the DOAC arm versus the aspirin arm (0% vs</w:t>
            </w:r>
            <w:r w:rsidR="00C60A6C">
              <w:rPr>
                <w:rFonts w:ascii="Times New Roman" w:hAnsi="Times New Roman" w:cs="Times New Roman"/>
                <w:kern w:val="0"/>
                <w:sz w:val="24"/>
              </w:rPr>
              <w:t>.</w:t>
            </w:r>
            <w:r w:rsidRPr="00C712E1">
              <w:rPr>
                <w:rFonts w:ascii="Times New Roman" w:hAnsi="Times New Roman" w:cs="Times New Roman"/>
                <w:kern w:val="0"/>
                <w:sz w:val="24"/>
              </w:rPr>
              <w:t xml:space="preserve"> 6.5%; P &lt; 0.001 and</w:t>
            </w:r>
            <w:r w:rsidR="00C60A6C">
              <w:rPr>
                <w:rFonts w:ascii="Times New Roman" w:hAnsi="Times New Roman" w:cs="Times New Roman"/>
                <w:kern w:val="0"/>
                <w:sz w:val="24"/>
              </w:rPr>
              <w:t xml:space="preserve"> </w:t>
            </w:r>
            <w:r w:rsidRPr="00C712E1">
              <w:rPr>
                <w:rFonts w:ascii="Times New Roman" w:hAnsi="Times New Roman" w:cs="Times New Roman"/>
                <w:kern w:val="0"/>
                <w:sz w:val="24"/>
              </w:rPr>
              <w:t xml:space="preserve">4.9% vs. 18%; P &lt; </w:t>
            </w:r>
            <w:r w:rsidRPr="00C712E1">
              <w:rPr>
                <w:rFonts w:ascii="Times New Roman" w:hAnsi="Times New Roman" w:cs="Times New Roman"/>
                <w:kern w:val="0"/>
                <w:sz w:val="24"/>
              </w:rPr>
              <w:lastRenderedPageBreak/>
              <w:t>0.001, respectively).</w:t>
            </w:r>
          </w:p>
        </w:tc>
      </w:tr>
      <w:tr w:rsidR="00A824E1" w:rsidRPr="00C712E1" w14:paraId="76D4642B" w14:textId="77777777" w:rsidTr="007B3A74">
        <w:trPr>
          <w:trHeight w:val="1204"/>
        </w:trPr>
        <w:tc>
          <w:tcPr>
            <w:tcW w:w="1389" w:type="dxa"/>
          </w:tcPr>
          <w:p w14:paraId="7845C0A5" w14:textId="72E54FDC" w:rsidR="00B406E2" w:rsidRPr="00C712E1" w:rsidRDefault="00B406E2" w:rsidP="001F50E8">
            <w:pPr>
              <w:pStyle w:val="Default"/>
            </w:pPr>
            <w:r w:rsidRPr="00C712E1">
              <w:lastRenderedPageBreak/>
              <w:t>Deshmukh et al.</w:t>
            </w:r>
            <w:r w:rsidR="00596AFA" w:rsidRPr="001F0C25">
              <w:rPr>
                <w:color w:val="000000" w:themeColor="text1"/>
                <w:vertAlign w:val="superscript"/>
              </w:rPr>
              <w:t>5</w:t>
            </w:r>
          </w:p>
        </w:tc>
        <w:tc>
          <w:tcPr>
            <w:tcW w:w="1628" w:type="dxa"/>
          </w:tcPr>
          <w:p w14:paraId="26FC7281" w14:textId="77777777" w:rsidR="00B406E2" w:rsidRPr="00C712E1" w:rsidRDefault="00B406E2" w:rsidP="001F50E8">
            <w:pPr>
              <w:pStyle w:val="Default"/>
            </w:pPr>
            <w:r w:rsidRPr="00C712E1">
              <w:t>Single center, non-randomized study</w:t>
            </w:r>
          </w:p>
        </w:tc>
        <w:tc>
          <w:tcPr>
            <w:tcW w:w="1803" w:type="dxa"/>
          </w:tcPr>
          <w:p w14:paraId="3DC17C61" w14:textId="77777777" w:rsidR="00B406E2" w:rsidRPr="00C712E1" w:rsidRDefault="00B406E2" w:rsidP="001F50E8">
            <w:pPr>
              <w:pStyle w:val="Default"/>
            </w:pPr>
            <w:r w:rsidRPr="00C712E1">
              <w:t>80</w:t>
            </w:r>
          </w:p>
        </w:tc>
        <w:tc>
          <w:tcPr>
            <w:tcW w:w="2800" w:type="dxa"/>
          </w:tcPr>
          <w:p w14:paraId="42CD73F3" w14:textId="669667D2" w:rsidR="00B406E2" w:rsidRPr="00C712E1" w:rsidRDefault="00B406E2" w:rsidP="001F50E8">
            <w:pPr>
              <w:pStyle w:val="Default"/>
            </w:pPr>
            <w:r w:rsidRPr="00C712E1">
              <w:t xml:space="preserve">Warfarin (n=38)  </w:t>
            </w:r>
            <w:r w:rsidR="004415E7">
              <w:br/>
            </w:r>
            <w:r w:rsidRPr="00C712E1">
              <w:t>DOAC (n=42; 88%, apixaban)</w:t>
            </w:r>
          </w:p>
        </w:tc>
        <w:tc>
          <w:tcPr>
            <w:tcW w:w="1164" w:type="dxa"/>
          </w:tcPr>
          <w:p w14:paraId="5EE5FB88" w14:textId="77777777" w:rsidR="00B406E2" w:rsidRPr="00C712E1" w:rsidRDefault="00B406E2" w:rsidP="001F50E8">
            <w:pPr>
              <w:pStyle w:val="Default"/>
            </w:pPr>
            <w:r w:rsidRPr="00C712E1">
              <w:t>3 months</w:t>
            </w:r>
          </w:p>
        </w:tc>
        <w:tc>
          <w:tcPr>
            <w:tcW w:w="4394" w:type="dxa"/>
          </w:tcPr>
          <w:p w14:paraId="37EF6A79" w14:textId="407F95F6" w:rsidR="00B406E2" w:rsidRPr="00C712E1" w:rsidRDefault="00B406E2" w:rsidP="001F50E8">
            <w:pPr>
              <w:pStyle w:val="Default"/>
            </w:pPr>
            <w:r w:rsidRPr="00C712E1">
              <w:t xml:space="preserve">One patient in the DOAC group developed </w:t>
            </w:r>
            <w:r w:rsidR="00236804">
              <w:t xml:space="preserve">a </w:t>
            </w:r>
            <w:r w:rsidRPr="00C712E1">
              <w:t xml:space="preserve">right branch retinal artery occlusion one day after ablation. One patient in the warfarin group had </w:t>
            </w:r>
            <w:r w:rsidR="00236804">
              <w:t xml:space="preserve">an </w:t>
            </w:r>
            <w:r w:rsidRPr="00C712E1">
              <w:t xml:space="preserve">iliac deep venous and right atrial thrombus one day after ablation.  </w:t>
            </w:r>
            <w:r w:rsidR="00236804">
              <w:t>For b</w:t>
            </w:r>
            <w:r w:rsidRPr="00C712E1">
              <w:t>leeding outcomes, hematomas related to vascular access, occurred in 2 (4.8%) patients with DOAC</w:t>
            </w:r>
            <w:r w:rsidR="00236804">
              <w:t>s</w:t>
            </w:r>
            <w:r w:rsidRPr="00C712E1">
              <w:t xml:space="preserve"> and in 6 (15.8%) patients receiving warfarin</w:t>
            </w:r>
            <w:r w:rsidR="00C712E1">
              <w:t xml:space="preserve"> (p=0.2)</w:t>
            </w:r>
            <w:r w:rsidRPr="00C712E1">
              <w:t xml:space="preserve">. </w:t>
            </w:r>
          </w:p>
        </w:tc>
      </w:tr>
    </w:tbl>
    <w:p w14:paraId="7AB18BC0" w14:textId="79A8CDA3" w:rsidR="00B406E2" w:rsidRPr="00C712E1" w:rsidRDefault="00B406E2" w:rsidP="00B406E2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</w:rPr>
      </w:pPr>
      <w:r w:rsidRPr="001F0C25">
        <w:rPr>
          <w:rFonts w:ascii="Times New Roman" w:hAnsi="Times New Roman" w:cs="Times New Roman"/>
          <w:kern w:val="0"/>
          <w:sz w:val="24"/>
          <w:vertAlign w:val="superscript"/>
        </w:rPr>
        <w:t>*</w:t>
      </w:r>
      <w:r w:rsidRPr="00C712E1">
        <w:rPr>
          <w:rFonts w:ascii="Times New Roman" w:hAnsi="Times New Roman" w:cs="Times New Roman"/>
          <w:sz w:val="24"/>
        </w:rPr>
        <w:t xml:space="preserve"> Anti-thromboembolic therapy</w:t>
      </w:r>
      <w:r w:rsidRPr="00C712E1">
        <w:rPr>
          <w:rFonts w:ascii="Times New Roman" w:hAnsi="Times New Roman" w:cs="Times New Roman"/>
          <w:kern w:val="0"/>
          <w:sz w:val="24"/>
        </w:rPr>
        <w:t xml:space="preserve"> was recommended if ablation had been performed over an area </w:t>
      </w:r>
      <w:r w:rsidR="00236804">
        <w:rPr>
          <w:rFonts w:ascii="Times New Roman" w:hAnsi="Times New Roman" w:cs="Times New Roman"/>
          <w:kern w:val="0"/>
          <w:sz w:val="24"/>
        </w:rPr>
        <w:t>of</w:t>
      </w:r>
      <w:r w:rsidR="00236804" w:rsidRPr="00C712E1">
        <w:rPr>
          <w:rFonts w:ascii="Times New Roman" w:hAnsi="Times New Roman" w:cs="Times New Roman"/>
          <w:kern w:val="0"/>
          <w:sz w:val="24"/>
        </w:rPr>
        <w:t xml:space="preserve"> </w:t>
      </w:r>
      <w:r w:rsidRPr="00C712E1">
        <w:rPr>
          <w:rFonts w:ascii="Times New Roman" w:hAnsi="Times New Roman" w:cs="Times New Roman"/>
          <w:kern w:val="0"/>
          <w:sz w:val="24"/>
        </w:rPr>
        <w:t xml:space="preserve">&gt;3 cm between </w:t>
      </w:r>
      <w:r w:rsidR="00236804">
        <w:rPr>
          <w:rFonts w:ascii="Times New Roman" w:hAnsi="Times New Roman" w:cs="Times New Roman"/>
          <w:kern w:val="0"/>
          <w:sz w:val="24"/>
        </w:rPr>
        <w:t xml:space="preserve">the </w:t>
      </w:r>
      <w:r w:rsidRPr="00C712E1">
        <w:rPr>
          <w:rFonts w:ascii="Times New Roman" w:hAnsi="Times New Roman" w:cs="Times New Roman"/>
          <w:kern w:val="0"/>
          <w:sz w:val="24"/>
        </w:rPr>
        <w:t>ablation sites.</w:t>
      </w:r>
    </w:p>
    <w:p w14:paraId="1B68C525" w14:textId="0622ACDB" w:rsidR="00B406E2" w:rsidRPr="001F0C25" w:rsidRDefault="0004296A" w:rsidP="001F0C25">
      <w:pPr>
        <w:widowControl/>
        <w:jc w:val="left"/>
        <w:rPr>
          <w:rFonts w:ascii="Times New Roman" w:eastAsia="ＭＳ Ｐゴシック" w:hAnsi="Times New Roman" w:cs="Times New Roman"/>
          <w:kern w:val="0"/>
          <w:sz w:val="24"/>
        </w:rPr>
      </w:pPr>
      <w:r w:rsidRPr="001F0C25">
        <w:rPr>
          <w:rFonts w:ascii="Segoe UI Symbol" w:hAnsi="Segoe UI Symbol" w:cs="Segoe UI Symbol"/>
          <w:kern w:val="0"/>
          <w:sz w:val="24"/>
          <w:vertAlign w:val="superscript"/>
        </w:rPr>
        <w:t>#</w:t>
      </w:r>
      <w:r w:rsidR="00B406E2" w:rsidRPr="00C712E1">
        <w:rPr>
          <w:rFonts w:ascii="Times New Roman" w:hAnsi="Times New Roman" w:cs="Times New Roman"/>
          <w:kern w:val="0"/>
          <w:sz w:val="24"/>
        </w:rPr>
        <w:t xml:space="preserve"> </w:t>
      </w:r>
      <w:r w:rsidR="00B406E2" w:rsidRPr="00C712E1">
        <w:rPr>
          <w:rFonts w:ascii="Times New Roman" w:eastAsia="ＭＳ Ｐゴシック" w:hAnsi="Times New Roman" w:cs="Times New Roman"/>
          <w:kern w:val="0"/>
          <w:sz w:val="24"/>
        </w:rPr>
        <w:t xml:space="preserve">Patients with </w:t>
      </w:r>
      <w:r w:rsidR="00236804">
        <w:rPr>
          <w:rFonts w:ascii="Times New Roman" w:eastAsia="ＭＳ Ｐゴシック" w:hAnsi="Times New Roman" w:cs="Times New Roman"/>
          <w:kern w:val="0"/>
          <w:sz w:val="24"/>
        </w:rPr>
        <w:t xml:space="preserve">a </w:t>
      </w:r>
      <w:r w:rsidR="00B406E2" w:rsidRPr="00C712E1">
        <w:rPr>
          <w:rFonts w:ascii="Times New Roman" w:eastAsia="ＭＳ Ｐゴシック" w:hAnsi="Times New Roman" w:cs="Times New Roman"/>
          <w:kern w:val="0"/>
          <w:sz w:val="24"/>
        </w:rPr>
        <w:t xml:space="preserve">large LV endocardial ablation area (&gt;3 cm between ablation lesions) were started on </w:t>
      </w:r>
      <w:r w:rsidR="00236804">
        <w:rPr>
          <w:rFonts w:ascii="Times New Roman" w:eastAsia="ＭＳ Ｐゴシック" w:hAnsi="Times New Roman" w:cs="Times New Roman"/>
          <w:kern w:val="0"/>
          <w:sz w:val="24"/>
        </w:rPr>
        <w:t xml:space="preserve">a </w:t>
      </w:r>
      <w:r w:rsidR="00B406E2" w:rsidRPr="00C712E1">
        <w:rPr>
          <w:rFonts w:ascii="Times New Roman" w:eastAsia="ＭＳ Ｐゴシック" w:hAnsi="Times New Roman" w:cs="Times New Roman"/>
          <w:kern w:val="0"/>
          <w:sz w:val="24"/>
        </w:rPr>
        <w:t xml:space="preserve">low-dose, slowly escalating </w:t>
      </w:r>
      <w:r w:rsidR="00236804">
        <w:rPr>
          <w:rFonts w:ascii="Times New Roman" w:eastAsia="ＭＳ Ｐゴシック" w:hAnsi="Times New Roman" w:cs="Times New Roman"/>
          <w:kern w:val="0"/>
          <w:sz w:val="24"/>
        </w:rPr>
        <w:t xml:space="preserve">to an </w:t>
      </w:r>
      <w:r w:rsidR="00B406E2" w:rsidRPr="00C712E1">
        <w:rPr>
          <w:rFonts w:ascii="Times New Roman" w:eastAsia="ＭＳ Ｐゴシック" w:hAnsi="Times New Roman" w:cs="Times New Roman"/>
          <w:kern w:val="0"/>
          <w:sz w:val="24"/>
        </w:rPr>
        <w:t xml:space="preserve">unfractionated heparin (UFH) infusion 8 hours after access hemostasis, followed by 3 months of anticoagulation. Patients with less extensive ablation were treated only with antiplatelet agents </w:t>
      </w:r>
      <w:r w:rsidR="00236804">
        <w:rPr>
          <w:rFonts w:ascii="Times New Roman" w:eastAsia="ＭＳ Ｐゴシック" w:hAnsi="Times New Roman" w:cs="Times New Roman"/>
          <w:kern w:val="0"/>
          <w:sz w:val="24"/>
        </w:rPr>
        <w:t>post-ablation</w:t>
      </w:r>
      <w:r w:rsidR="00B406E2" w:rsidRPr="00C712E1">
        <w:rPr>
          <w:rFonts w:ascii="Times New Roman" w:eastAsia="ＭＳ Ｐゴシック" w:hAnsi="Times New Roman" w:cs="Times New Roman"/>
          <w:kern w:val="0"/>
          <w:sz w:val="24"/>
        </w:rPr>
        <w:t xml:space="preserve">. </w:t>
      </w:r>
    </w:p>
    <w:sectPr w:rsidR="00B406E2" w:rsidRPr="001F0C25" w:rsidSect="00A962CE">
      <w:pgSz w:w="16838" w:h="11906" w:orient="landscape"/>
      <w:pgMar w:top="1701" w:right="1701" w:bottom="1701" w:left="1985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04FBE"/>
    <w:multiLevelType w:val="hybridMultilevel"/>
    <w:tmpl w:val="BAA030C8"/>
    <w:lvl w:ilvl="0" w:tplc="1E922304">
      <w:start w:val="3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5B334B"/>
    <w:multiLevelType w:val="hybridMultilevel"/>
    <w:tmpl w:val="C7849536"/>
    <w:lvl w:ilvl="0" w:tplc="4BAA3AC4">
      <w:start w:val="3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CA232E6"/>
    <w:multiLevelType w:val="hybridMultilevel"/>
    <w:tmpl w:val="F4028A68"/>
    <w:lvl w:ilvl="0" w:tplc="0D18986C">
      <w:start w:val="3"/>
      <w:numFmt w:val="bullet"/>
      <w:lvlText w:val="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DisplayPageBoundaries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2CE"/>
    <w:rsid w:val="0004296A"/>
    <w:rsid w:val="000A5794"/>
    <w:rsid w:val="001F0C25"/>
    <w:rsid w:val="00236804"/>
    <w:rsid w:val="002A55E7"/>
    <w:rsid w:val="004415E7"/>
    <w:rsid w:val="004559C6"/>
    <w:rsid w:val="00510565"/>
    <w:rsid w:val="005351B0"/>
    <w:rsid w:val="00596AFA"/>
    <w:rsid w:val="006050C6"/>
    <w:rsid w:val="00610A6F"/>
    <w:rsid w:val="006700B5"/>
    <w:rsid w:val="006C20D2"/>
    <w:rsid w:val="006D1CE6"/>
    <w:rsid w:val="007B3A74"/>
    <w:rsid w:val="00805C38"/>
    <w:rsid w:val="00830076"/>
    <w:rsid w:val="00A824E1"/>
    <w:rsid w:val="00A962CE"/>
    <w:rsid w:val="00B406E2"/>
    <w:rsid w:val="00B47416"/>
    <w:rsid w:val="00B47EA5"/>
    <w:rsid w:val="00BD3D6C"/>
    <w:rsid w:val="00C60A6C"/>
    <w:rsid w:val="00C712E1"/>
    <w:rsid w:val="00D21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26505D"/>
  <w15:chartTrackingRefBased/>
  <w15:docId w15:val="{F0742065-1CBA-2240-9D8B-6A4034B0A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12E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962CE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</w:rPr>
  </w:style>
  <w:style w:type="table" w:styleId="a3">
    <w:name w:val="Table Grid"/>
    <w:basedOn w:val="a1"/>
    <w:uiPriority w:val="39"/>
    <w:rsid w:val="00A962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C20D2"/>
    <w:pPr>
      <w:ind w:leftChars="400" w:left="840"/>
    </w:pPr>
  </w:style>
  <w:style w:type="paragraph" w:styleId="a5">
    <w:name w:val="Revision"/>
    <w:hidden/>
    <w:uiPriority w:val="99"/>
    <w:semiHidden/>
    <w:rsid w:val="00596A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3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江島 浩一郎</dc:creator>
  <cp:keywords/>
  <dc:description/>
  <cp:lastModifiedBy>江島 浩一郎</cp:lastModifiedBy>
  <cp:revision>7</cp:revision>
  <dcterms:created xsi:type="dcterms:W3CDTF">2023-01-26T02:04:00Z</dcterms:created>
  <dcterms:modified xsi:type="dcterms:W3CDTF">2023-01-26T02:26:00Z</dcterms:modified>
</cp:coreProperties>
</file>